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444" w:rsidRPr="00634A58" w:rsidRDefault="008B5444" w:rsidP="00AE763E">
      <w:pPr>
        <w:pStyle w:val="2"/>
        <w:widowControl w:val="0"/>
        <w:spacing w:before="0" w:after="240" w:line="240" w:lineRule="auto"/>
        <w:ind w:firstLine="0"/>
        <w:jc w:val="left"/>
      </w:pPr>
      <w:bookmarkStart w:id="0" w:name="_Toc259453350"/>
      <w:bookmarkStart w:id="1" w:name="_Toc263080218"/>
      <w:r w:rsidRPr="00634A58">
        <w:t xml:space="preserve">3.3 Обоснование </w:t>
      </w:r>
      <w:bookmarkEnd w:id="0"/>
      <w:bookmarkEnd w:id="1"/>
      <w:r w:rsidRPr="00634A58">
        <w:t>принятых расчетных геолого-физических моделей</w:t>
      </w:r>
      <w:r w:rsidR="00760D42">
        <w:t xml:space="preserve"> пластов</w:t>
      </w:r>
    </w:p>
    <w:p w:rsidR="008B5444" w:rsidRPr="00634A58" w:rsidRDefault="008B5444" w:rsidP="00AE763E">
      <w:pPr>
        <w:pStyle w:val="a4"/>
        <w:ind w:firstLine="0"/>
        <w:jc w:val="left"/>
      </w:pPr>
      <w:bookmarkStart w:id="2" w:name="_Toc245886330"/>
      <w:r w:rsidRPr="00634A58">
        <w:t>3.3.1 Обоснование расчетных моделей пластов, их геолого-физических характеристик, принятых для расчета технологических показателей разработки</w:t>
      </w:r>
      <w:bookmarkEnd w:id="2"/>
    </w:p>
    <w:p w:rsidR="00945BE3" w:rsidRDefault="00945BE3" w:rsidP="00945BE3">
      <w:pPr>
        <w:pStyle w:val="a7"/>
      </w:pPr>
      <w:r>
        <w:t xml:space="preserve">В основу расчетной модели, принятой для прогноза показателей разработки </w:t>
      </w:r>
      <w:r w:rsidR="00281383">
        <w:t xml:space="preserve">рассматриваемого </w:t>
      </w:r>
      <w:r w:rsidR="008912AC">
        <w:t>месторождения</w:t>
      </w:r>
      <w:r>
        <w:t xml:space="preserve"> положена схема слоисто- и зонально-неоднородного пласта. Она базируется на информации, полученной по ограниченной группе скважин, пробуренных и исследованных геофизическими и гидродинамическими методами.</w:t>
      </w:r>
    </w:p>
    <w:p w:rsidR="00945BE3" w:rsidRDefault="00945BE3" w:rsidP="00945BE3">
      <w:pPr>
        <w:pStyle w:val="a7"/>
      </w:pPr>
      <w:r>
        <w:t>Согласно этой модели</w:t>
      </w:r>
      <w:r w:rsidR="009C5E27">
        <w:t>,</w:t>
      </w:r>
      <w:r>
        <w:t xml:space="preserve"> продуктивный пласт состоит из зон различной продуктивности с линейным размером </w:t>
      </w:r>
      <w:r>
        <w:rPr>
          <w:i/>
        </w:rPr>
        <w:t>d</w:t>
      </w:r>
      <w:r>
        <w:t>, а каждая зона представлена набором слоев различной проницаемости. Изменение проницаемости по слоям и зонам носит вероятностный характер и количественно оценивается квадратом коэффициента вариации данного параметра.</w:t>
      </w:r>
    </w:p>
    <w:p w:rsidR="00945BE3" w:rsidRDefault="00945BE3" w:rsidP="00945BE3">
      <w:pPr>
        <w:pStyle w:val="a7"/>
      </w:pPr>
      <w:r>
        <w:t>Наряду с геологической характеристикой пласта, модель учитывает и физические факторы, характеризующие процесс вытеснения нефти (двухфазность потока, различие вязкостей нефти и вытесняющей воды, явление языкообразования, начальное положение ВНК и др.). Для этого исходное распределение послойной неоднородности преобразуется в расчетное комплексное распределение.</w:t>
      </w:r>
    </w:p>
    <w:p w:rsidR="00945BE3" w:rsidRDefault="00945BE3" w:rsidP="00945BE3">
      <w:pPr>
        <w:pStyle w:val="a7"/>
      </w:pPr>
      <w:r>
        <w:t xml:space="preserve">На базе полученного распределения строятся нормированные функции распределения </w:t>
      </w:r>
      <w:r>
        <w:rPr>
          <w:i/>
        </w:rPr>
        <w:t>Y(x)</w:t>
      </w:r>
      <w:r>
        <w:t xml:space="preserve"> и связанные с ней функции плотности </w:t>
      </w:r>
      <w:r>
        <w:rPr>
          <w:i/>
        </w:rPr>
        <w:t>y(x)</w:t>
      </w:r>
      <w:r>
        <w:t xml:space="preserve"> и производительности </w:t>
      </w:r>
      <w:r>
        <w:rPr>
          <w:i/>
        </w:rPr>
        <w:t>W(x)</w:t>
      </w:r>
      <w:r>
        <w:t>.</w:t>
      </w:r>
    </w:p>
    <w:p w:rsidR="00945BE3" w:rsidRDefault="00945BE3" w:rsidP="00945BE3">
      <w:pPr>
        <w:pStyle w:val="a7"/>
      </w:pPr>
      <w:r>
        <w:t xml:space="preserve">После чего, с использованием схемы </w:t>
      </w:r>
      <w:r w:rsidR="00EC005D">
        <w:t xml:space="preserve">У. </w:t>
      </w:r>
      <w:r>
        <w:t xml:space="preserve">Стайлза, представляющей собой прямо пропорциональную зависимость между проницаемостью, скоростью вытеснения и путем, пройденным фронтом вытеснения, рассчитаны параметры </w:t>
      </w:r>
      <w:r>
        <w:rPr>
          <w:i/>
        </w:rPr>
        <w:t>K</w:t>
      </w:r>
      <w:r>
        <w:rPr>
          <w:i/>
          <w:vertAlign w:val="subscript"/>
        </w:rPr>
        <w:t>3</w:t>
      </w:r>
      <w:r>
        <w:t xml:space="preserve">, </w:t>
      </w:r>
      <w:r>
        <w:rPr>
          <w:i/>
        </w:rPr>
        <w:t>F</w:t>
      </w:r>
      <w:r>
        <w:t xml:space="preserve"> – коэффициент использования подвижных запасов нефти, суммарный отбор жидкости в долях от подвижных запасов нефти и </w:t>
      </w:r>
      <w:r>
        <w:rPr>
          <w:i/>
        </w:rPr>
        <w:t>А</w:t>
      </w:r>
      <w:r>
        <w:t xml:space="preserve"> – доля вытесняющей воды в текущем дебите. Далее, с учетом зональной неоднородности между элементами рассчитаны накопленная добыча и динамика добычи нефти при заданных условиях.</w:t>
      </w:r>
    </w:p>
    <w:p w:rsidR="00945BE3" w:rsidRDefault="00945BE3" w:rsidP="00945BE3">
      <w:pPr>
        <w:pStyle w:val="a7"/>
      </w:pPr>
      <w:r>
        <w:t>Построение расчетных моделей объектов разработки проведено на основе результатов прямых определений следующих параметров модели:</w:t>
      </w:r>
    </w:p>
    <w:p w:rsidR="00945BE3" w:rsidRDefault="00945BE3" w:rsidP="00945BE3">
      <w:pPr>
        <w:pStyle w:val="ad"/>
        <w:numPr>
          <w:ilvl w:val="0"/>
          <w:numId w:val="3"/>
        </w:numPr>
        <w:spacing w:after="0" w:line="360" w:lineRule="auto"/>
        <w:ind w:left="1451" w:hanging="357"/>
        <w:jc w:val="both"/>
      </w:pPr>
      <w:r>
        <w:rPr>
          <w:noProof/>
          <w:position w:val="-12"/>
          <w:lang w:val="en-US" w:eastAsia="en-US"/>
        </w:rPr>
        <w:drawing>
          <wp:inline distT="0" distB="0" distL="0" distR="0">
            <wp:extent cx="1809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Times New Roman" w:hAnsi="Times New Roman"/>
          <w:sz w:val="24"/>
          <w:szCs w:val="24"/>
        </w:rPr>
        <w:t>– текущий амплитудный дебит на середину года, т/год;</w:t>
      </w:r>
    </w:p>
    <w:p w:rsidR="00945BE3" w:rsidRDefault="00945BE3" w:rsidP="00945BE3">
      <w:pPr>
        <w:pStyle w:val="ad"/>
        <w:numPr>
          <w:ilvl w:val="0"/>
          <w:numId w:val="3"/>
        </w:numPr>
        <w:spacing w:after="0" w:line="360" w:lineRule="auto"/>
        <w:ind w:left="1451" w:hanging="357"/>
        <w:jc w:val="both"/>
      </w:pPr>
      <w:r>
        <w:rPr>
          <w:noProof/>
          <w:position w:val="-28"/>
          <w:lang w:val="en-US" w:eastAsia="en-US"/>
        </w:rPr>
        <w:drawing>
          <wp:inline distT="0" distB="0" distL="0" distR="0">
            <wp:extent cx="371475" cy="438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Times New Roman" w:hAnsi="Times New Roman"/>
          <w:sz w:val="24"/>
          <w:szCs w:val="24"/>
        </w:rPr>
        <w:t>– суммарный отбор нефти за все предыдущие годы;</w:t>
      </w:r>
    </w:p>
    <w:p w:rsidR="00945BE3" w:rsidRDefault="00945BE3" w:rsidP="00945BE3">
      <w:pPr>
        <w:pStyle w:val="a7"/>
        <w:numPr>
          <w:ilvl w:val="0"/>
          <w:numId w:val="3"/>
        </w:numPr>
        <w:ind w:left="1451" w:hanging="357"/>
      </w:pPr>
      <w:bookmarkStart w:id="3" w:name="_GoBack"/>
      <w:r>
        <w:rPr>
          <w:noProof/>
          <w:position w:val="-28"/>
          <w:lang w:val="en-US" w:eastAsia="en-US"/>
        </w:rPr>
        <w:drawing>
          <wp:inline distT="0" distB="0" distL="0" distR="0">
            <wp:extent cx="390525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r>
        <w:t xml:space="preserve"> – суммарный отбор жидкости за все предыдущие годы;</w:t>
      </w:r>
    </w:p>
    <w:p w:rsidR="00945BE3" w:rsidRDefault="00945BE3" w:rsidP="00945BE3">
      <w:pPr>
        <w:pStyle w:val="a7"/>
        <w:numPr>
          <w:ilvl w:val="0"/>
          <w:numId w:val="3"/>
        </w:numPr>
        <w:ind w:left="1451" w:hanging="357"/>
      </w:pPr>
      <w:r>
        <w:rPr>
          <w:position w:val="-12"/>
        </w:rPr>
        <w:object w:dxaOrig="33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3pt;height:18.8pt" o:ole="">
            <v:imagedata r:id="rId10" o:title=""/>
          </v:shape>
          <o:OLEObject Type="Embed" ProgID="Equation.3" ShapeID="_x0000_i1025" DrawAspect="Content" ObjectID="_1707548241" r:id="rId11"/>
        </w:object>
      </w:r>
      <w:r>
        <w:t xml:space="preserve"> – </w:t>
      </w:r>
      <w:r w:rsidR="00AF565C">
        <w:t>квадрат коэффициента вариации зональной неоднородности по удельной продуктивности на единицу толщины пластов между соседними скважинами</w:t>
      </w:r>
      <w:r>
        <w:t>;</w:t>
      </w:r>
    </w:p>
    <w:p w:rsidR="00945BE3" w:rsidRDefault="00945BE3" w:rsidP="00945BE3">
      <w:pPr>
        <w:pStyle w:val="a7"/>
        <w:numPr>
          <w:ilvl w:val="0"/>
          <w:numId w:val="3"/>
        </w:numPr>
        <w:ind w:left="1451" w:hanging="357"/>
      </w:pPr>
      <w:r>
        <w:rPr>
          <w:position w:val="-12"/>
        </w:rPr>
        <w:object w:dxaOrig="330" w:dyaOrig="375">
          <v:shape id="_x0000_i1026" type="#_x0000_t75" style="width:16.3pt;height:18.8pt" o:ole="">
            <v:imagedata r:id="rId12" o:title=""/>
          </v:shape>
          <o:OLEObject Type="Embed" ProgID="Equation.3" ShapeID="_x0000_i1026" DrawAspect="Content" ObjectID="_1707548242" r:id="rId13"/>
        </w:object>
      </w:r>
      <w:r>
        <w:t xml:space="preserve"> – </w:t>
      </w:r>
      <w:r w:rsidR="00AF565C">
        <w:t>квадрат коэффициента вариации неоднородности пластов по проницаемости</w:t>
      </w:r>
      <w:r>
        <w:t>;</w:t>
      </w:r>
    </w:p>
    <w:p w:rsidR="00945BE3" w:rsidRDefault="00945BE3" w:rsidP="00945BE3">
      <w:pPr>
        <w:pStyle w:val="a7"/>
        <w:numPr>
          <w:ilvl w:val="0"/>
          <w:numId w:val="3"/>
        </w:numPr>
        <w:ind w:left="1451" w:hanging="357"/>
      </w:pPr>
      <w:r>
        <w:rPr>
          <w:i/>
          <w:position w:val="-12"/>
          <w:vertAlign w:val="subscript"/>
        </w:rPr>
        <w:object w:dxaOrig="330" w:dyaOrig="375">
          <v:shape id="_x0000_i1027" type="#_x0000_t75" style="width:16.3pt;height:18.8pt" o:ole="">
            <v:imagedata r:id="rId14" o:title=""/>
          </v:shape>
          <o:OLEObject Type="Embed" ProgID="Equation.3" ShapeID="_x0000_i1027" DrawAspect="Content" ObjectID="_1707548243" r:id="rId15"/>
        </w:object>
      </w:r>
      <w:r>
        <w:t xml:space="preserve"> – </w:t>
      </w:r>
      <w:r w:rsidR="00AF565C">
        <w:t>квадрат коэффициента вариации неоднородности сетки скважин по языкообразованию</w:t>
      </w:r>
      <w:r>
        <w:t>;</w:t>
      </w:r>
    </w:p>
    <w:p w:rsidR="00945BE3" w:rsidRDefault="00945BE3" w:rsidP="00945BE3">
      <w:pPr>
        <w:pStyle w:val="a7"/>
        <w:numPr>
          <w:ilvl w:val="0"/>
          <w:numId w:val="3"/>
        </w:numPr>
        <w:ind w:left="1451" w:hanging="357"/>
      </w:pPr>
      <w:r>
        <w:rPr>
          <w:i/>
        </w:rPr>
        <w:t>К</w:t>
      </w:r>
      <w:r>
        <w:rPr>
          <w:i/>
          <w:vertAlign w:val="subscript"/>
        </w:rPr>
        <w:t>прод.ср.</w:t>
      </w:r>
      <w:r>
        <w:t xml:space="preserve"> – средний коэффициент продуктивности;</w:t>
      </w:r>
    </w:p>
    <w:p w:rsidR="00945BE3" w:rsidRDefault="00945BE3" w:rsidP="00945BE3">
      <w:pPr>
        <w:pStyle w:val="a7"/>
        <w:numPr>
          <w:ilvl w:val="0"/>
          <w:numId w:val="3"/>
        </w:numPr>
        <w:ind w:left="1451" w:hanging="357"/>
      </w:pPr>
      <w:r>
        <w:rPr>
          <w:i/>
        </w:rPr>
        <w:t>К</w:t>
      </w:r>
      <w:r>
        <w:rPr>
          <w:i/>
          <w:vertAlign w:val="subscript"/>
        </w:rPr>
        <w:t>пр.ср.</w:t>
      </w:r>
      <w:r>
        <w:t xml:space="preserve"> – </w:t>
      </w:r>
      <w:r w:rsidR="00AF565C">
        <w:t>средний коэффициент проницаемости</w:t>
      </w:r>
      <w:r>
        <w:t>.</w:t>
      </w:r>
    </w:p>
    <w:p w:rsidR="00945BE3" w:rsidRDefault="00945BE3" w:rsidP="00945BE3">
      <w:pPr>
        <w:pStyle w:val="a7"/>
      </w:pPr>
      <w:r>
        <w:t>Расчетная модель позволяет определять технологические показатели разработки как для естественного режима, так и для возможного этапа искусственного поддержания пластового давления, с учетом порядка и темпа разбуривания и ввода скважин в эксплуатацию, фактической плотности сетки скважин, режимов эксплуатации скважин.</w:t>
      </w:r>
    </w:p>
    <w:p w:rsidR="00945BE3" w:rsidRDefault="00945BE3" w:rsidP="00945BE3">
      <w:pPr>
        <w:pStyle w:val="a7"/>
      </w:pPr>
      <w:r>
        <w:t xml:space="preserve">Построение расчетной модели для </w:t>
      </w:r>
      <w:r w:rsidR="00281383">
        <w:t>участка</w:t>
      </w:r>
      <w:r>
        <w:t xml:space="preserve"> проведено в соответствии с фактическими данными о геологическом строении объектов, функцией распределения проницаемости по пластам и характером насыщении разреза. При этом также учтены данные о физических свойствах пластовых флюидов. Средняя проницаемость коллекторов выделенных объектов разработки принята по результатам гидродинамических исследований скважин.</w:t>
      </w:r>
    </w:p>
    <w:p w:rsidR="00945BE3" w:rsidRDefault="00945BE3" w:rsidP="00945BE3">
      <w:pPr>
        <w:pStyle w:val="a5"/>
        <w:spacing w:before="120" w:after="24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3.3.2 Идентификация параметров математических моделей по данным истории разработки</w:t>
      </w:r>
    </w:p>
    <w:p w:rsidR="00945BE3" w:rsidRDefault="00945BE3" w:rsidP="00945BE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Идентификация параметров модели проведена по фактическим промысловым данным для дальнейшего прогнозирования разработки.</w:t>
      </w:r>
    </w:p>
    <w:p w:rsidR="00945BE3" w:rsidRDefault="00945BE3" w:rsidP="00945BE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Сопоставление результатов моделирования с фактическими данными, так называемая адаптация к истории разработки, свидетельствует о достаточной точности прогноза основных показателей разработки.</w:t>
      </w:r>
    </w:p>
    <w:p w:rsidR="00945BE3" w:rsidRDefault="00945BE3" w:rsidP="00945BE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Идентификация параметров моделей произведена по результатам предыдущего периода разработки эксплуатационных объектов. При этом параметр </w:t>
      </w:r>
      <w:r>
        <w:rPr>
          <w:rFonts w:ascii="Times New Roman" w:hAnsi="Times New Roman"/>
          <w:i/>
          <w:sz w:val="24"/>
          <w:szCs w:val="24"/>
          <w:lang w:val="en-US"/>
        </w:rPr>
        <w:t>Q</w:t>
      </w:r>
      <w:r>
        <w:rPr>
          <w:rFonts w:ascii="Times New Roman" w:hAnsi="Times New Roman"/>
          <w:i/>
          <w:sz w:val="24"/>
          <w:szCs w:val="24"/>
          <w:vertAlign w:val="subscript"/>
        </w:rPr>
        <w:t>0</w:t>
      </w:r>
      <w:r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– фактически введенные в разработку начальные извлекаемые запасы нефти – определен по зависимости текущих годовых отборов </w:t>
      </w:r>
      <w:r>
        <w:rPr>
          <w:rFonts w:ascii="Times New Roman" w:hAnsi="Times New Roman"/>
          <w:i/>
          <w:sz w:val="24"/>
          <w:szCs w:val="24"/>
          <w:lang w:val="en-US"/>
        </w:rPr>
        <w:t>q</w:t>
      </w:r>
      <w:r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от накопленных отборов нефти на середину года </w:t>
      </w:r>
      <w:r>
        <w:rPr>
          <w:rFonts w:ascii="Times New Roman" w:hAnsi="Times New Roman"/>
          <w:i/>
          <w:sz w:val="24"/>
          <w:szCs w:val="24"/>
          <w:lang w:val="en-US"/>
        </w:rPr>
        <w:t>Q</w:t>
      </w:r>
      <w:r>
        <w:rPr>
          <w:rFonts w:ascii="Times New Roman" w:hAnsi="Times New Roman"/>
          <w:i/>
          <w:sz w:val="24"/>
          <w:szCs w:val="24"/>
          <w:vertAlign w:val="subscript"/>
        </w:rPr>
        <w:t>д</w:t>
      </w:r>
      <w:r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i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с учетом известного общего числа введенных в эксплуатацию скважин </w:t>
      </w:r>
      <w:r>
        <w:rPr>
          <w:rFonts w:ascii="Times New Roman" w:hAnsi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/>
          <w:i/>
          <w:sz w:val="24"/>
          <w:szCs w:val="24"/>
          <w:vertAlign w:val="subscript"/>
        </w:rPr>
        <w:t>0</w:t>
      </w:r>
      <w:r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Параметр </w:t>
      </w:r>
      <w:r>
        <w:rPr>
          <w:rFonts w:ascii="Times New Roman" w:hAnsi="Times New Roman"/>
          <w:i/>
          <w:sz w:val="24"/>
          <w:szCs w:val="24"/>
          <w:lang w:val="en-US"/>
        </w:rPr>
        <w:t>q</w:t>
      </w:r>
      <w:r>
        <w:rPr>
          <w:rFonts w:ascii="Times New Roman" w:hAnsi="Times New Roman"/>
          <w:i/>
          <w:sz w:val="24"/>
          <w:szCs w:val="24"/>
          <w:vertAlign w:val="subscript"/>
        </w:rPr>
        <w:t>0</w:t>
      </w:r>
      <w:r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– фактический амплитудный дебит нефти объекта при известном </w:t>
      </w:r>
      <w:r>
        <w:rPr>
          <w:rFonts w:ascii="Times New Roman" w:hAnsi="Times New Roman"/>
          <w:i/>
          <w:sz w:val="24"/>
          <w:szCs w:val="24"/>
          <w:lang w:val="en-US"/>
        </w:rPr>
        <w:t>Q</w:t>
      </w:r>
      <w:r>
        <w:rPr>
          <w:rFonts w:ascii="Times New Roman" w:hAnsi="Times New Roman"/>
          <w:i/>
          <w:sz w:val="24"/>
          <w:szCs w:val="24"/>
          <w:vertAlign w:val="subscript"/>
        </w:rPr>
        <w:t>0</w:t>
      </w:r>
      <w:r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 определен по формуле:</w:t>
      </w:r>
    </w:p>
    <w:p w:rsidR="00945BE3" w:rsidRDefault="00D305D1" w:rsidP="00945BE3">
      <w:pPr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szCs w:val="24"/>
              </w:rPr>
              <m:t>)</m:t>
            </m:r>
          </m:sup>
        </m:sSubSup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1-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sup>
            </m:sSubSup>
            <m:r>
              <w:rPr>
                <w:rFonts w:ascii="Cambria Math" w:hAnsi="Cambria Math"/>
                <w:sz w:val="24"/>
                <w:szCs w:val="24"/>
              </w:rPr>
              <m:t>/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(t)</m:t>
                </m:r>
              </m:sup>
            </m:sSubSup>
          </m:den>
        </m:f>
      </m:oMath>
      <w:r w:rsidR="00945BE3">
        <w:rPr>
          <w:rFonts w:ascii="Times New Roman" w:hAnsi="Times New Roman"/>
          <w:i/>
          <w:sz w:val="24"/>
          <w:szCs w:val="24"/>
        </w:rPr>
        <w:tab/>
      </w:r>
      <w:r w:rsidR="00945BE3">
        <w:rPr>
          <w:rFonts w:ascii="Times New Roman" w:hAnsi="Times New Roman"/>
          <w:i/>
          <w:sz w:val="24"/>
          <w:szCs w:val="24"/>
        </w:rPr>
        <w:tab/>
      </w:r>
      <w:r w:rsidR="00945BE3">
        <w:rPr>
          <w:rFonts w:ascii="Times New Roman" w:hAnsi="Times New Roman"/>
          <w:i/>
          <w:sz w:val="24"/>
          <w:szCs w:val="24"/>
        </w:rPr>
        <w:tab/>
        <w:t>(3.1)</w:t>
      </w:r>
    </w:p>
    <w:p w:rsidR="00945BE3" w:rsidRDefault="00945BE3" w:rsidP="00945BE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параметра </w:t>
      </w:r>
      <w:r>
        <w:rPr>
          <w:rFonts w:ascii="Times New Roman" w:hAnsi="Times New Roman"/>
          <w:i/>
          <w:sz w:val="24"/>
          <w:szCs w:val="24"/>
        </w:rPr>
        <w:t>Q</w:t>
      </w:r>
      <w:r>
        <w:rPr>
          <w:rFonts w:ascii="Times New Roman" w:hAnsi="Times New Roman"/>
          <w:i/>
          <w:sz w:val="24"/>
          <w:szCs w:val="24"/>
          <w:vertAlign w:val="subscript"/>
        </w:rPr>
        <w:t>F0</w:t>
      </w:r>
      <w:r>
        <w:rPr>
          <w:rFonts w:ascii="Times New Roman" w:hAnsi="Times New Roman"/>
          <w:i/>
          <w:sz w:val="24"/>
          <w:szCs w:val="24"/>
        </w:rPr>
        <w:t>(t)</w:t>
      </w:r>
      <w:r>
        <w:rPr>
          <w:rFonts w:ascii="Times New Roman" w:hAnsi="Times New Roman"/>
          <w:sz w:val="24"/>
          <w:szCs w:val="24"/>
        </w:rPr>
        <w:t xml:space="preserve"> – фактически введенных в разработку начальных извлекаемых запасов жидкости, производилось при известных амплитудных дебитах нефти</w:t>
      </w:r>
      <w:r>
        <w:rPr>
          <w:rFonts w:ascii="Times New Roman" w:hAnsi="Times New Roman"/>
          <w:i/>
          <w:sz w:val="24"/>
          <w:szCs w:val="24"/>
        </w:rPr>
        <w:t xml:space="preserve"> q</w:t>
      </w:r>
      <w:r>
        <w:rPr>
          <w:rFonts w:ascii="Times New Roman" w:hAnsi="Times New Roman"/>
          <w:i/>
          <w:sz w:val="24"/>
          <w:szCs w:val="24"/>
          <w:vertAlign w:val="subscript"/>
        </w:rPr>
        <w:t>0</w:t>
      </w:r>
      <w:r>
        <w:rPr>
          <w:rFonts w:ascii="Times New Roman" w:hAnsi="Times New Roman"/>
          <w:i/>
          <w:sz w:val="24"/>
          <w:szCs w:val="24"/>
        </w:rPr>
        <w:t>(t)</w:t>
      </w:r>
      <w:r>
        <w:rPr>
          <w:rFonts w:ascii="Times New Roman" w:hAnsi="Times New Roman"/>
          <w:sz w:val="24"/>
          <w:szCs w:val="24"/>
        </w:rPr>
        <w:t xml:space="preserve">, жидкости </w:t>
      </w:r>
      <w:r>
        <w:rPr>
          <w:rFonts w:ascii="Times New Roman" w:hAnsi="Times New Roman"/>
          <w:i/>
          <w:sz w:val="24"/>
          <w:szCs w:val="24"/>
        </w:rPr>
        <w:t>q</w:t>
      </w:r>
      <w:r>
        <w:rPr>
          <w:rFonts w:ascii="Times New Roman" w:hAnsi="Times New Roman"/>
          <w:i/>
          <w:sz w:val="24"/>
          <w:szCs w:val="24"/>
          <w:vertAlign w:val="subscript"/>
        </w:rPr>
        <w:t>F</w:t>
      </w:r>
      <w:r>
        <w:rPr>
          <w:rFonts w:ascii="Times New Roman" w:hAnsi="Times New Roman"/>
          <w:i/>
          <w:sz w:val="24"/>
          <w:szCs w:val="24"/>
        </w:rPr>
        <w:t>(t)</w:t>
      </w:r>
      <w:r>
        <w:rPr>
          <w:rFonts w:ascii="Times New Roman" w:hAnsi="Times New Roman"/>
          <w:sz w:val="24"/>
          <w:szCs w:val="24"/>
        </w:rPr>
        <w:t xml:space="preserve"> и накопленном отборе жидкости на середину года</w:t>
      </w:r>
      <w:r>
        <w:rPr>
          <w:rFonts w:ascii="Times New Roman" w:hAnsi="Times New Roman"/>
          <w:i/>
          <w:sz w:val="24"/>
          <w:szCs w:val="24"/>
        </w:rPr>
        <w:t xml:space="preserve"> Q</w:t>
      </w:r>
      <w:r>
        <w:rPr>
          <w:rFonts w:ascii="Times New Roman" w:hAnsi="Times New Roman"/>
          <w:i/>
          <w:sz w:val="24"/>
          <w:szCs w:val="24"/>
          <w:vertAlign w:val="subscript"/>
        </w:rPr>
        <w:t>Fд</w:t>
      </w:r>
      <w:r>
        <w:rPr>
          <w:rFonts w:ascii="Times New Roman" w:hAnsi="Times New Roman"/>
          <w:i/>
          <w:sz w:val="24"/>
          <w:szCs w:val="24"/>
        </w:rPr>
        <w:t>(t)</w:t>
      </w:r>
      <w:r>
        <w:rPr>
          <w:rFonts w:ascii="Times New Roman" w:hAnsi="Times New Roman"/>
          <w:sz w:val="24"/>
          <w:szCs w:val="24"/>
        </w:rPr>
        <w:t xml:space="preserve"> по формуле:</w:t>
      </w:r>
    </w:p>
    <w:p w:rsidR="00945BE3" w:rsidRDefault="00D305D1" w:rsidP="00945BE3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(t)</m:t>
            </m:r>
          </m:sup>
        </m:sSubSup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Fд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sup>
            </m:sSubSup>
          </m:num>
          <m:den>
            <m:r>
              <w:rPr>
                <w:rFonts w:ascii="Cambria Math" w:hAnsi="Cambria Math"/>
                <w:sz w:val="24"/>
                <w:szCs w:val="24"/>
              </w:rPr>
              <m:t>1-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F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</m:d>
              </m:sup>
            </m:sSubSup>
            <m:r>
              <w:rPr>
                <w:rFonts w:ascii="Cambria Math" w:hAnsi="Cambria Math"/>
                <w:sz w:val="24"/>
                <w:szCs w:val="24"/>
              </w:rPr>
              <m:t>/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(t)</m:t>
                </m:r>
              </m:sup>
            </m:sSubSup>
          </m:den>
        </m:f>
      </m:oMath>
      <w:r w:rsidR="00945BE3">
        <w:rPr>
          <w:rFonts w:ascii="Times New Roman" w:hAnsi="Times New Roman"/>
          <w:sz w:val="24"/>
          <w:szCs w:val="24"/>
        </w:rPr>
        <w:tab/>
      </w:r>
      <w:r w:rsidR="00945BE3">
        <w:rPr>
          <w:rFonts w:ascii="Times New Roman" w:hAnsi="Times New Roman"/>
          <w:sz w:val="24"/>
          <w:szCs w:val="24"/>
        </w:rPr>
        <w:tab/>
        <w:t>(3.2)</w:t>
      </w:r>
    </w:p>
    <w:p w:rsidR="00945BE3" w:rsidRDefault="00945BE3" w:rsidP="00945BE3">
      <w:pPr>
        <w:spacing w:after="0" w:line="240" w:lineRule="auto"/>
        <w:ind w:firstLine="709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45BE3" w:rsidRDefault="00945BE3" w:rsidP="00945BE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где </w:t>
      </w:r>
      <w:r>
        <w:rPr>
          <w:rFonts w:ascii="Times New Roman" w:hAnsi="Times New Roman"/>
          <w:i/>
          <w:sz w:val="24"/>
          <w:szCs w:val="24"/>
        </w:rPr>
        <w:t>q</w:t>
      </w:r>
      <w:r>
        <w:rPr>
          <w:rFonts w:ascii="Times New Roman" w:hAnsi="Times New Roman"/>
          <w:i/>
          <w:sz w:val="24"/>
          <w:szCs w:val="24"/>
          <w:vertAlign w:val="subscript"/>
        </w:rPr>
        <w:t>F</w:t>
      </w:r>
      <w:r>
        <w:rPr>
          <w:rFonts w:ascii="Times New Roman" w:hAnsi="Times New Roman"/>
          <w:i/>
          <w:sz w:val="24"/>
          <w:szCs w:val="24"/>
        </w:rPr>
        <w:t>(t)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i/>
          <w:sz w:val="24"/>
          <w:szCs w:val="24"/>
        </w:rPr>
        <w:t>Q</w:t>
      </w:r>
      <w:r>
        <w:rPr>
          <w:rFonts w:ascii="Times New Roman" w:hAnsi="Times New Roman"/>
          <w:i/>
          <w:sz w:val="24"/>
          <w:szCs w:val="24"/>
          <w:vertAlign w:val="subscript"/>
        </w:rPr>
        <w:t>F</w:t>
      </w:r>
      <w:r>
        <w:rPr>
          <w:rFonts w:ascii="Times New Roman" w:hAnsi="Times New Roman"/>
          <w:sz w:val="24"/>
          <w:szCs w:val="24"/>
          <w:vertAlign w:val="subscript"/>
        </w:rPr>
        <w:t>д</w:t>
      </w:r>
      <w:r>
        <w:rPr>
          <w:rFonts w:ascii="Times New Roman" w:hAnsi="Times New Roman"/>
          <w:i/>
          <w:sz w:val="24"/>
          <w:szCs w:val="24"/>
        </w:rPr>
        <w:t>(t)</w:t>
      </w:r>
      <w:r>
        <w:rPr>
          <w:rFonts w:ascii="Times New Roman" w:hAnsi="Times New Roman"/>
          <w:sz w:val="24"/>
          <w:szCs w:val="24"/>
        </w:rPr>
        <w:t xml:space="preserve"> связаны с весовыми отборами через параметр</w:t>
      </w:r>
      <w:r>
        <w:rPr>
          <w:rFonts w:ascii="Symbol" w:hAnsi="Symbol"/>
          <w:sz w:val="24"/>
          <w:szCs w:val="24"/>
          <w:lang w:val="en-US"/>
        </w:rPr>
        <w:t></w:t>
      </w:r>
      <w:r>
        <w:rPr>
          <w:rFonts w:ascii="Symbol" w:hAnsi="Symbol"/>
          <w:sz w:val="24"/>
          <w:szCs w:val="24"/>
        </w:rPr>
        <w:t></w:t>
      </w:r>
      <w:r>
        <w:rPr>
          <w:rFonts w:ascii="Symbol" w:hAnsi="Symbol"/>
          <w:snapToGrid w:val="0"/>
          <w:sz w:val="24"/>
          <w:szCs w:val="24"/>
        </w:rPr>
        <w:t></w:t>
      </w:r>
      <w:r>
        <w:rPr>
          <w:rFonts w:ascii="Symbol" w:hAnsi="Symbol"/>
          <w:snapToGrid w:val="0"/>
          <w:sz w:val="24"/>
          <w:szCs w:val="24"/>
          <w:vertAlign w:val="subscript"/>
        </w:rPr>
        <w:t></w:t>
      </w:r>
      <w:r>
        <w:rPr>
          <w:rFonts w:ascii="Times New Roman" w:hAnsi="Times New Roman"/>
          <w:sz w:val="24"/>
          <w:szCs w:val="24"/>
        </w:rPr>
        <w:t>, учитывающий различие физических свойств нефти и вытесняющей воды.</w:t>
      </w:r>
    </w:p>
    <w:p w:rsidR="00945BE3" w:rsidRDefault="00945BE3" w:rsidP="00945BE3">
      <w:pPr>
        <w:pStyle w:val="a3"/>
        <w:ind w:firstLine="709"/>
        <w:rPr>
          <w:lang w:val="ru-RU"/>
        </w:rPr>
      </w:pPr>
      <w:r>
        <w:t>После идентификации параметров по изложенной схеме получ</w:t>
      </w:r>
      <w:r>
        <w:rPr>
          <w:lang w:val="ru-RU"/>
        </w:rPr>
        <w:t>ена</w:t>
      </w:r>
      <w:r>
        <w:t xml:space="preserve"> адаптированная расчетная модель </w:t>
      </w:r>
      <w:r>
        <w:rPr>
          <w:lang w:val="ru-RU"/>
        </w:rPr>
        <w:t xml:space="preserve">каждого эксплуатационного </w:t>
      </w:r>
      <w:r>
        <w:t>объекта, отражающая действующую систему разработки и применяемую технологию эксплуатации скважин. В дальнейшем</w:t>
      </w:r>
      <w:r>
        <w:rPr>
          <w:lang w:val="ru-RU"/>
        </w:rPr>
        <w:t>,</w:t>
      </w:r>
      <w:r>
        <w:t xml:space="preserve"> на базе полученной модели выполн</w:t>
      </w:r>
      <w:r>
        <w:rPr>
          <w:lang w:val="ru-RU"/>
        </w:rPr>
        <w:t>ен</w:t>
      </w:r>
      <w:r>
        <w:t xml:space="preserve"> прогноз процесса, соответствующего запроектированной системе разработки.</w:t>
      </w:r>
    </w:p>
    <w:p w:rsidR="00757A7B" w:rsidRPr="00525CBD" w:rsidRDefault="00757A7B" w:rsidP="00525CBD">
      <w:pPr>
        <w:ind w:firstLine="708"/>
        <w:rPr>
          <w:lang w:eastAsia="x-none"/>
        </w:rPr>
      </w:pPr>
    </w:p>
    <w:sectPr w:rsidR="00757A7B" w:rsidRPr="00525CBD" w:rsidSect="009B6901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EAE" w:rsidRDefault="00BD7EAE" w:rsidP="00F54882">
      <w:pPr>
        <w:spacing w:after="0" w:line="240" w:lineRule="auto"/>
      </w:pPr>
      <w:r>
        <w:separator/>
      </w:r>
    </w:p>
  </w:endnote>
  <w:endnote w:type="continuationSeparator" w:id="0">
    <w:p w:rsidR="00BD7EAE" w:rsidRDefault="00BD7EAE" w:rsidP="00F54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A74" w:rsidRPr="00760D42" w:rsidRDefault="00910BF1" w:rsidP="00F54882">
    <w:pPr>
      <w:pStyle w:val="aa"/>
      <w:pBdr>
        <w:top w:val="single" w:sz="2" w:space="1" w:color="auto"/>
      </w:pBdr>
      <w:tabs>
        <w:tab w:val="right" w:pos="9000"/>
      </w:tabs>
      <w:ind w:right="354"/>
      <w:rPr>
        <w:rFonts w:ascii="Times New Roman" w:hAnsi="Times New Roman"/>
        <w:sz w:val="14"/>
        <w:szCs w:val="14"/>
      </w:rPr>
    </w:pPr>
    <w:r>
      <w:rPr>
        <w:rFonts w:ascii="Times New Roman" w:hAnsi="Times New Roman"/>
        <w:sz w:val="14"/>
        <w:szCs w:val="14"/>
      </w:rPr>
      <w:t xml:space="preserve">ПРОЕКТ РАЗРАБОТКИ </w:t>
    </w:r>
    <w:r w:rsidR="00D11519">
      <w:rPr>
        <w:rFonts w:ascii="Times New Roman" w:hAnsi="Times New Roman"/>
        <w:sz w:val="14"/>
        <w:szCs w:val="14"/>
      </w:rPr>
      <w:t xml:space="preserve">МЕСТОРОЖДЕНИЯ </w:t>
    </w:r>
    <w:r w:rsidR="008912AC">
      <w:rPr>
        <w:rFonts w:ascii="Times New Roman" w:hAnsi="Times New Roman"/>
        <w:sz w:val="14"/>
        <w:szCs w:val="14"/>
      </w:rPr>
      <w:t>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EAE" w:rsidRDefault="00BD7EAE" w:rsidP="00F54882">
      <w:pPr>
        <w:spacing w:after="0" w:line="240" w:lineRule="auto"/>
      </w:pPr>
      <w:r>
        <w:separator/>
      </w:r>
    </w:p>
  </w:footnote>
  <w:footnote w:type="continuationSeparator" w:id="0">
    <w:p w:rsidR="00BD7EAE" w:rsidRDefault="00BD7EAE" w:rsidP="00F54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A74" w:rsidRPr="00F54882" w:rsidRDefault="00CE1A74" w:rsidP="00F54882">
    <w:pPr>
      <w:pStyle w:val="a8"/>
      <w:framePr w:w="403" w:wrap="around" w:vAnchor="text" w:hAnchor="page" w:x="15421" w:y="-77"/>
      <w:rPr>
        <w:rStyle w:val="ac"/>
        <w:rFonts w:ascii="Times New Roman" w:hAnsi="Times New Roman"/>
      </w:rPr>
    </w:pPr>
  </w:p>
  <w:p w:rsidR="00CE1A74" w:rsidRPr="00953ACB" w:rsidRDefault="00CE1A74" w:rsidP="00953ACB">
    <w:pPr>
      <w:pStyle w:val="a8"/>
      <w:framePr w:wrap="around" w:vAnchor="text" w:hAnchor="page" w:x="10795" w:y="-43"/>
      <w:rPr>
        <w:rStyle w:val="ac"/>
        <w:rFonts w:ascii="Times New Roman" w:hAnsi="Times New Roman"/>
        <w:sz w:val="20"/>
        <w:szCs w:val="20"/>
      </w:rPr>
    </w:pPr>
    <w:r w:rsidRPr="00953ACB">
      <w:rPr>
        <w:rStyle w:val="ac"/>
        <w:rFonts w:ascii="Times New Roman" w:hAnsi="Times New Roman"/>
        <w:sz w:val="20"/>
        <w:szCs w:val="20"/>
      </w:rPr>
      <w:fldChar w:fldCharType="begin"/>
    </w:r>
    <w:r w:rsidRPr="00953ACB">
      <w:rPr>
        <w:rStyle w:val="ac"/>
        <w:rFonts w:ascii="Times New Roman" w:hAnsi="Times New Roman"/>
        <w:sz w:val="20"/>
        <w:szCs w:val="20"/>
      </w:rPr>
      <w:instrText xml:space="preserve">PAGE  </w:instrText>
    </w:r>
    <w:r w:rsidRPr="00953ACB">
      <w:rPr>
        <w:rStyle w:val="ac"/>
        <w:rFonts w:ascii="Times New Roman" w:hAnsi="Times New Roman"/>
        <w:sz w:val="20"/>
        <w:szCs w:val="20"/>
      </w:rPr>
      <w:fldChar w:fldCharType="separate"/>
    </w:r>
    <w:r w:rsidR="00D305D1">
      <w:rPr>
        <w:rStyle w:val="ac"/>
        <w:rFonts w:ascii="Times New Roman" w:hAnsi="Times New Roman"/>
        <w:noProof/>
        <w:sz w:val="20"/>
        <w:szCs w:val="20"/>
      </w:rPr>
      <w:t>158</w:t>
    </w:r>
    <w:r w:rsidRPr="00953ACB">
      <w:rPr>
        <w:rStyle w:val="ac"/>
        <w:rFonts w:ascii="Times New Roman" w:hAnsi="Times New Roman"/>
        <w:sz w:val="20"/>
        <w:szCs w:val="20"/>
      </w:rPr>
      <w:fldChar w:fldCharType="end"/>
    </w:r>
  </w:p>
  <w:p w:rsidR="00CE1A74" w:rsidRPr="00F54882" w:rsidRDefault="00CE1A74" w:rsidP="00212A85">
    <w:pPr>
      <w:widowControl w:val="0"/>
      <w:pBdr>
        <w:bottom w:val="single" w:sz="4" w:space="1" w:color="auto"/>
      </w:pBdr>
      <w:spacing w:after="0" w:line="240" w:lineRule="auto"/>
      <w:ind w:right="357"/>
      <w:rPr>
        <w:rFonts w:ascii="Times New Roman" w:hAnsi="Times New Roman"/>
        <w:sz w:val="14"/>
        <w:szCs w:val="14"/>
      </w:rPr>
    </w:pPr>
    <w:r w:rsidRPr="00F54882">
      <w:rPr>
        <w:rFonts w:ascii="Times New Roman" w:hAnsi="Times New Roman"/>
        <w:sz w:val="14"/>
        <w:szCs w:val="14"/>
      </w:rPr>
      <w:t>ПОДГОТОВКА ГЕОЛОГО-ПРОМЫСЛОВОЙ И ТЕХНИКО-ЭКОНОМИЧЕСКОЙ ОСНОВЫ ДЛЯ ПРОЕКТИРОВАНИЯ РАЗРАБОТКИ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7AB9"/>
    <w:multiLevelType w:val="multilevel"/>
    <w:tmpl w:val="CAE8E210"/>
    <w:lvl w:ilvl="0">
      <w:start w:val="1"/>
      <w:numFmt w:val="decimal"/>
      <w:pStyle w:val="1"/>
      <w:lvlText w:val="%1.1."/>
      <w:lvlJc w:val="left"/>
      <w:pPr>
        <w:ind w:left="1776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color w:val="auto"/>
      </w:rPr>
    </w:lvl>
  </w:abstractNum>
  <w:abstractNum w:abstractNumId="1" w15:restartNumberingAfterBreak="0">
    <w:nsid w:val="7A1F5739"/>
    <w:multiLevelType w:val="hybridMultilevel"/>
    <w:tmpl w:val="DABAA38A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66"/>
    <w:rsid w:val="00004838"/>
    <w:rsid w:val="00014647"/>
    <w:rsid w:val="000A2F23"/>
    <w:rsid w:val="000F4ED0"/>
    <w:rsid w:val="00110018"/>
    <w:rsid w:val="001213C2"/>
    <w:rsid w:val="00137FC5"/>
    <w:rsid w:val="0014236B"/>
    <w:rsid w:val="00156B52"/>
    <w:rsid w:val="001C348D"/>
    <w:rsid w:val="001C7AD7"/>
    <w:rsid w:val="001E0335"/>
    <w:rsid w:val="00212A85"/>
    <w:rsid w:val="00281383"/>
    <w:rsid w:val="002A1347"/>
    <w:rsid w:val="002B7D84"/>
    <w:rsid w:val="002D66CE"/>
    <w:rsid w:val="002E280A"/>
    <w:rsid w:val="002E7630"/>
    <w:rsid w:val="00316F66"/>
    <w:rsid w:val="003405CD"/>
    <w:rsid w:val="00373549"/>
    <w:rsid w:val="003834D9"/>
    <w:rsid w:val="00383C94"/>
    <w:rsid w:val="003C4E67"/>
    <w:rsid w:val="003E3CA5"/>
    <w:rsid w:val="0041652E"/>
    <w:rsid w:val="00420F49"/>
    <w:rsid w:val="004879A0"/>
    <w:rsid w:val="0049104B"/>
    <w:rsid w:val="00491174"/>
    <w:rsid w:val="004F48EB"/>
    <w:rsid w:val="00525CBD"/>
    <w:rsid w:val="005375F1"/>
    <w:rsid w:val="00581CFF"/>
    <w:rsid w:val="00597D74"/>
    <w:rsid w:val="005A3068"/>
    <w:rsid w:val="005B3648"/>
    <w:rsid w:val="006140CC"/>
    <w:rsid w:val="00645FAD"/>
    <w:rsid w:val="00647FC5"/>
    <w:rsid w:val="00667174"/>
    <w:rsid w:val="006C1553"/>
    <w:rsid w:val="006D7B83"/>
    <w:rsid w:val="007107BE"/>
    <w:rsid w:val="00754D8C"/>
    <w:rsid w:val="00757A7B"/>
    <w:rsid w:val="00760210"/>
    <w:rsid w:val="00760D42"/>
    <w:rsid w:val="00794296"/>
    <w:rsid w:val="007A5C98"/>
    <w:rsid w:val="007B38EC"/>
    <w:rsid w:val="00810806"/>
    <w:rsid w:val="00834D5E"/>
    <w:rsid w:val="008912AC"/>
    <w:rsid w:val="008B5444"/>
    <w:rsid w:val="00910BF1"/>
    <w:rsid w:val="00925E58"/>
    <w:rsid w:val="00943FDD"/>
    <w:rsid w:val="0094497C"/>
    <w:rsid w:val="00945BE3"/>
    <w:rsid w:val="00953ACB"/>
    <w:rsid w:val="00963D39"/>
    <w:rsid w:val="009B6901"/>
    <w:rsid w:val="009C3998"/>
    <w:rsid w:val="009C5E27"/>
    <w:rsid w:val="009D7028"/>
    <w:rsid w:val="00A63583"/>
    <w:rsid w:val="00AD1667"/>
    <w:rsid w:val="00AD434B"/>
    <w:rsid w:val="00AE763E"/>
    <w:rsid w:val="00AF565C"/>
    <w:rsid w:val="00BC0C61"/>
    <w:rsid w:val="00BD7EAE"/>
    <w:rsid w:val="00BE743B"/>
    <w:rsid w:val="00C12753"/>
    <w:rsid w:val="00C34C2F"/>
    <w:rsid w:val="00C53D37"/>
    <w:rsid w:val="00C56FAB"/>
    <w:rsid w:val="00C93CD9"/>
    <w:rsid w:val="00CE1A74"/>
    <w:rsid w:val="00D0279D"/>
    <w:rsid w:val="00D11519"/>
    <w:rsid w:val="00D305D1"/>
    <w:rsid w:val="00D335D1"/>
    <w:rsid w:val="00D64C24"/>
    <w:rsid w:val="00DE3288"/>
    <w:rsid w:val="00E30EBA"/>
    <w:rsid w:val="00E7345D"/>
    <w:rsid w:val="00E77B8D"/>
    <w:rsid w:val="00EC005D"/>
    <w:rsid w:val="00EE5C7E"/>
    <w:rsid w:val="00F0735B"/>
    <w:rsid w:val="00F1445C"/>
    <w:rsid w:val="00F1561D"/>
    <w:rsid w:val="00F16233"/>
    <w:rsid w:val="00F54882"/>
    <w:rsid w:val="00F5506A"/>
    <w:rsid w:val="00F712A5"/>
    <w:rsid w:val="00FB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246343F"/>
  <w15:docId w15:val="{7BAA6FAE-1196-425B-BCFB-B63B0FC4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444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Подглава 1.1."/>
    <w:next w:val="a"/>
    <w:link w:val="10"/>
    <w:autoRedefine/>
    <w:qFormat/>
    <w:rsid w:val="00794296"/>
    <w:pPr>
      <w:keepNext/>
      <w:numPr>
        <w:numId w:val="2"/>
      </w:numPr>
      <w:spacing w:after="16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link w:val="8"/>
    <w:rsid w:val="008B5444"/>
    <w:pPr>
      <w:spacing w:after="0" w:line="360" w:lineRule="auto"/>
      <w:ind w:firstLine="73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8">
    <w:name w:val="основной текст Знак8"/>
    <w:link w:val="a3"/>
    <w:rsid w:val="008B54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Тлек_Заголовок_2"/>
    <w:basedOn w:val="a"/>
    <w:qFormat/>
    <w:rsid w:val="008B5444"/>
    <w:pPr>
      <w:spacing w:before="120" w:after="120" w:line="360" w:lineRule="auto"/>
      <w:ind w:firstLine="709"/>
      <w:jc w:val="both"/>
    </w:pPr>
    <w:rPr>
      <w:rFonts w:ascii="Times New Roman" w:hAnsi="Times New Roman"/>
      <w:b/>
      <w:sz w:val="24"/>
    </w:rPr>
  </w:style>
  <w:style w:type="paragraph" w:customStyle="1" w:styleId="a4">
    <w:name w:val="подпункт"/>
    <w:basedOn w:val="a"/>
    <w:rsid w:val="008B5444"/>
    <w:pPr>
      <w:spacing w:after="240" w:line="240" w:lineRule="auto"/>
      <w:ind w:firstLine="737"/>
      <w:jc w:val="both"/>
    </w:pPr>
    <w:rPr>
      <w:rFonts w:ascii="Times New Roman" w:hAnsi="Times New Roman"/>
      <w:b/>
      <w:bCs/>
      <w:i/>
      <w:iCs/>
      <w:sz w:val="24"/>
      <w:szCs w:val="20"/>
    </w:rPr>
  </w:style>
  <w:style w:type="paragraph" w:customStyle="1" w:styleId="a5">
    <w:name w:val="Подпункт Знак"/>
    <w:basedOn w:val="a"/>
    <w:next w:val="a"/>
    <w:link w:val="a6"/>
    <w:rsid w:val="008B5444"/>
    <w:pPr>
      <w:spacing w:after="0" w:line="360" w:lineRule="auto"/>
      <w:ind w:firstLine="737"/>
      <w:jc w:val="both"/>
    </w:pPr>
    <w:rPr>
      <w:b/>
      <w:i/>
      <w:sz w:val="24"/>
      <w:szCs w:val="24"/>
    </w:rPr>
  </w:style>
  <w:style w:type="character" w:customStyle="1" w:styleId="a6">
    <w:name w:val="Подпункт Знак Знак"/>
    <w:link w:val="a5"/>
    <w:rsid w:val="008B5444"/>
    <w:rPr>
      <w:rFonts w:ascii="Calibri" w:eastAsia="Times New Roman" w:hAnsi="Calibri" w:cs="Times New Roman"/>
      <w:b/>
      <w:i/>
      <w:sz w:val="24"/>
      <w:szCs w:val="24"/>
      <w:lang w:eastAsia="ru-RU"/>
    </w:rPr>
  </w:style>
  <w:style w:type="paragraph" w:customStyle="1" w:styleId="a7">
    <w:name w:val="Обычный текст"/>
    <w:basedOn w:val="a"/>
    <w:rsid w:val="008B5444"/>
    <w:pPr>
      <w:spacing w:after="0" w:line="360" w:lineRule="auto"/>
      <w:ind w:firstLine="737"/>
      <w:jc w:val="both"/>
    </w:pPr>
    <w:rPr>
      <w:rFonts w:ascii="Times New Roman" w:hAnsi="Times New Roman"/>
      <w:sz w:val="24"/>
      <w:szCs w:val="24"/>
    </w:rPr>
  </w:style>
  <w:style w:type="paragraph" w:styleId="a8">
    <w:name w:val="header"/>
    <w:aliases w:val="Title Up,h"/>
    <w:basedOn w:val="a"/>
    <w:link w:val="a9"/>
    <w:uiPriority w:val="99"/>
    <w:unhideWhenUsed/>
    <w:rsid w:val="00F54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Title Up Знак,h Знак"/>
    <w:basedOn w:val="a0"/>
    <w:link w:val="a8"/>
    <w:uiPriority w:val="99"/>
    <w:rsid w:val="00F54882"/>
    <w:rPr>
      <w:rFonts w:ascii="Calibri" w:eastAsia="Times New Roman" w:hAnsi="Calibri" w:cs="Times New Roman"/>
      <w:lang w:eastAsia="ru-RU"/>
    </w:rPr>
  </w:style>
  <w:style w:type="paragraph" w:styleId="aa">
    <w:name w:val="footer"/>
    <w:aliases w:val="Title Down"/>
    <w:basedOn w:val="a"/>
    <w:link w:val="ab"/>
    <w:unhideWhenUsed/>
    <w:rsid w:val="00F54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aliases w:val="Title Down Знак"/>
    <w:basedOn w:val="a0"/>
    <w:link w:val="aa"/>
    <w:rsid w:val="00F54882"/>
    <w:rPr>
      <w:rFonts w:ascii="Calibri" w:eastAsia="Times New Roman" w:hAnsi="Calibri" w:cs="Times New Roman"/>
      <w:lang w:eastAsia="ru-RU"/>
    </w:rPr>
  </w:style>
  <w:style w:type="character" w:styleId="ac">
    <w:name w:val="page number"/>
    <w:basedOn w:val="a0"/>
    <w:unhideWhenUsed/>
    <w:rsid w:val="00F54882"/>
  </w:style>
  <w:style w:type="paragraph" w:styleId="ad">
    <w:name w:val="List Paragraph"/>
    <w:basedOn w:val="a"/>
    <w:uiPriority w:val="34"/>
    <w:qFormat/>
    <w:rsid w:val="00014647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014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4647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laceholder Text"/>
    <w:basedOn w:val="a0"/>
    <w:uiPriority w:val="99"/>
    <w:semiHidden/>
    <w:rsid w:val="005375F1"/>
    <w:rPr>
      <w:color w:val="808080"/>
    </w:rPr>
  </w:style>
  <w:style w:type="character" w:customStyle="1" w:styleId="10">
    <w:name w:val="Заголовок 1 Знак"/>
    <w:aliases w:val="Подглава 1.1. Знак"/>
    <w:basedOn w:val="a0"/>
    <w:link w:val="1"/>
    <w:rsid w:val="00794296"/>
    <w:rPr>
      <w:rFonts w:ascii="Times New Roman" w:eastAsia="Times New Roman" w:hAnsi="Times New Roman" w:cs="Times New Roman"/>
      <w:b/>
      <w:sz w:val="24"/>
      <w:szCs w:val="24"/>
      <w:lang w:val="x-none"/>
    </w:rPr>
  </w:style>
  <w:style w:type="paragraph" w:customStyle="1" w:styleId="af1">
    <w:name w:val="Глава"/>
    <w:basedOn w:val="a"/>
    <w:link w:val="af2"/>
    <w:autoRedefine/>
    <w:qFormat/>
    <w:rsid w:val="00794296"/>
    <w:pPr>
      <w:keepNext/>
      <w:widowControl w:val="0"/>
      <w:shd w:val="clear" w:color="auto" w:fill="FFFFFF"/>
      <w:autoSpaceDE w:val="0"/>
      <w:autoSpaceDN w:val="0"/>
      <w:adjustRightInd w:val="0"/>
      <w:spacing w:after="240" w:line="240" w:lineRule="auto"/>
      <w:jc w:val="center"/>
      <w:outlineLvl w:val="0"/>
    </w:pPr>
    <w:rPr>
      <w:rFonts w:ascii="Times New Roman" w:hAnsi="Times New Roman" w:cs="Tahoma"/>
      <w:b/>
      <w:bCs/>
      <w:spacing w:val="-2"/>
      <w:sz w:val="24"/>
      <w:szCs w:val="24"/>
    </w:rPr>
  </w:style>
  <w:style w:type="character" w:customStyle="1" w:styleId="af2">
    <w:name w:val="Глава Знак"/>
    <w:basedOn w:val="a0"/>
    <w:link w:val="af1"/>
    <w:rsid w:val="00794296"/>
    <w:rPr>
      <w:rFonts w:ascii="Times New Roman" w:eastAsia="Times New Roman" w:hAnsi="Times New Roman" w:cs="Tahoma"/>
      <w:b/>
      <w:bCs/>
      <w:spacing w:val="-2"/>
      <w:sz w:val="24"/>
      <w:szCs w:val="24"/>
      <w:shd w:val="clear" w:color="auto" w:fill="FFFFFF"/>
      <w:lang w:eastAsia="ru-RU"/>
    </w:rPr>
  </w:style>
  <w:style w:type="paragraph" w:customStyle="1" w:styleId="11">
    <w:name w:val="Елжан_1"/>
    <w:basedOn w:val="a"/>
    <w:link w:val="12"/>
    <w:qFormat/>
    <w:rsid w:val="00794296"/>
    <w:pPr>
      <w:spacing w:after="360" w:line="240" w:lineRule="auto"/>
      <w:jc w:val="center"/>
    </w:pPr>
    <w:rPr>
      <w:rFonts w:ascii="Times New Roman" w:hAnsi="Times New Roman"/>
      <w:b/>
      <w:spacing w:val="-2"/>
      <w:sz w:val="24"/>
      <w:szCs w:val="24"/>
    </w:rPr>
  </w:style>
  <w:style w:type="character" w:customStyle="1" w:styleId="12">
    <w:name w:val="Елжан_1 Знак"/>
    <w:basedOn w:val="a0"/>
    <w:link w:val="11"/>
    <w:rsid w:val="00794296"/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paragraph" w:styleId="af3">
    <w:name w:val="Body Text Indent"/>
    <w:basedOn w:val="a"/>
    <w:link w:val="af4"/>
    <w:rsid w:val="0079429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794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794296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79429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9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Багитжамал Калмуратова</dc:creator>
  <cp:lastModifiedBy>Садықбек Қайрат Есенбайұлы</cp:lastModifiedBy>
  <cp:revision>74</cp:revision>
  <dcterms:created xsi:type="dcterms:W3CDTF">2014-10-17T05:17:00Z</dcterms:created>
  <dcterms:modified xsi:type="dcterms:W3CDTF">2022-02-28T05:11:00Z</dcterms:modified>
</cp:coreProperties>
</file>